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8A" w:rsidRDefault="00D9306D">
      <w:pPr>
        <w:jc w:val="center"/>
        <w:rPr>
          <w:rFonts w:ascii="Georgia" w:eastAsia="Georgia" w:hAnsi="Georgia" w:cs="Georgia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1272</wp:posOffset>
            </wp:positionH>
            <wp:positionV relativeFrom="paragraph">
              <wp:posOffset>161925</wp:posOffset>
            </wp:positionV>
            <wp:extent cx="5952005" cy="1144784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005" cy="1144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02C8A" w:rsidRDefault="00D9306D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Consejo de Políticas</w:t>
      </w:r>
    </w:p>
    <w:p w:rsidR="00002C8A" w:rsidRDefault="00D9306D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14 de marzo de 2023</w:t>
      </w:r>
    </w:p>
    <w:p w:rsidR="00002C8A" w:rsidRDefault="00D9306D">
      <w:pPr>
        <w:jc w:val="center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9:00 am</w:t>
      </w:r>
    </w:p>
    <w:p w:rsidR="00002C8A" w:rsidRDefault="00D9306D">
      <w:pPr>
        <w:jc w:val="center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871 Stanley Ave. Chambersburg, PA</w:t>
      </w:r>
    </w:p>
    <w:p w:rsidR="00002C8A" w:rsidRDefault="00002C8A">
      <w:pPr>
        <w:jc w:val="center"/>
        <w:rPr>
          <w:rFonts w:ascii="Georgia" w:eastAsia="Georgia" w:hAnsi="Georgia" w:cs="Georgia"/>
          <w:color w:val="000000"/>
        </w:rPr>
      </w:pPr>
    </w:p>
    <w:p w:rsidR="00002C8A" w:rsidRDefault="00D9306D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>Miembros del Consejo de Políticas Presentes</w:t>
      </w:r>
      <w:r>
        <w:rPr>
          <w:rFonts w:ascii="Georgia" w:eastAsia="Georgia" w:hAnsi="Georgia" w:cs="Georgia"/>
          <w:color w:val="000000"/>
        </w:rPr>
        <w:t>:  Steve Marvich, Shae Marvich, Heidi Calhoun, Minerva “Mimi” Roman, Sandy Miller, René Batres</w:t>
      </w:r>
    </w:p>
    <w:p w:rsidR="00002C8A" w:rsidRDefault="00002C8A">
      <w:pPr>
        <w:rPr>
          <w:rFonts w:ascii="Georgia" w:eastAsia="Georgia" w:hAnsi="Georgia" w:cs="Georgia"/>
          <w:color w:val="000000"/>
        </w:rPr>
      </w:pPr>
    </w:p>
    <w:p w:rsidR="00002C8A" w:rsidRDefault="00D9306D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>Personal de FSP Presente</w:t>
      </w:r>
      <w:r>
        <w:rPr>
          <w:rFonts w:ascii="Georgia" w:eastAsia="Georgia" w:hAnsi="Georgia" w:cs="Georgia"/>
          <w:color w:val="000000"/>
        </w:rPr>
        <w:t>:  Diane Hummel, Amy VanHorn, Stephanie Melgarejo, Jennifer Mercer, Jessica Hatch, Carolyn Clouser, Annette Searfoss</w:t>
      </w:r>
    </w:p>
    <w:p w:rsidR="00002C8A" w:rsidRDefault="00002C8A">
      <w:pPr>
        <w:rPr>
          <w:rFonts w:ascii="Georgia" w:eastAsia="Georgia" w:hAnsi="Georgia" w:cs="Georgia"/>
          <w:color w:val="000000"/>
        </w:rPr>
      </w:pPr>
    </w:p>
    <w:p w:rsidR="00002C8A" w:rsidRDefault="00D9306D">
      <w:pPr>
        <w:numPr>
          <w:ilvl w:val="0"/>
          <w:numId w:val="1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Bienvenida</w:t>
      </w:r>
    </w:p>
    <w:p w:rsidR="00002C8A" w:rsidRDefault="00D9306D">
      <w:pPr>
        <w:ind w:left="144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>Amy dio la bienvenida a todos a la reunión y dio inicio a la reunión a las 9:07 am.</w:t>
      </w:r>
    </w:p>
    <w:p w:rsidR="00002C8A" w:rsidRDefault="00002C8A">
      <w:pPr>
        <w:ind w:left="720"/>
        <w:rPr>
          <w:rFonts w:ascii="Georgia" w:eastAsia="Georgia" w:hAnsi="Georgia" w:cs="Georgia"/>
          <w:color w:val="000000"/>
        </w:rPr>
      </w:pPr>
    </w:p>
    <w:p w:rsidR="00002C8A" w:rsidRDefault="00D9306D">
      <w:pPr>
        <w:numPr>
          <w:ilvl w:val="0"/>
          <w:numId w:val="3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Asuntos de la Reunión Previa</w:t>
      </w:r>
    </w:p>
    <w:p w:rsidR="00002C8A" w:rsidRDefault="00002C8A">
      <w:pPr>
        <w:ind w:left="1350"/>
        <w:rPr>
          <w:rFonts w:ascii="Georgia" w:eastAsia="Georgia" w:hAnsi="Georgia" w:cs="Georgia"/>
          <w:b/>
        </w:rPr>
      </w:pPr>
    </w:p>
    <w:p w:rsidR="00002C8A" w:rsidRDefault="00D930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</w:rPr>
        <w:t>Acta del mes</w:t>
      </w:r>
      <w:r>
        <w:rPr>
          <w:rFonts w:ascii="Georgia" w:eastAsia="Georgia" w:hAnsi="Georgia" w:cs="Georgia"/>
          <w:b/>
        </w:rPr>
        <w:t xml:space="preserve"> de febrero</w:t>
      </w:r>
      <w:r>
        <w:rPr>
          <w:rFonts w:ascii="Georgia" w:eastAsia="Georgia" w:hAnsi="Georgia" w:cs="Georgia"/>
          <w:b/>
          <w:color w:val="000000"/>
        </w:rPr>
        <w:t>:</w:t>
      </w:r>
      <w:r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  <w:b/>
          <w:color w:val="000000"/>
        </w:rPr>
        <w:t xml:space="preserve"> </w:t>
      </w:r>
      <w:r>
        <w:rPr>
          <w:rFonts w:ascii="Georgia" w:eastAsia="Georgia" w:hAnsi="Georgia" w:cs="Georgia"/>
        </w:rPr>
        <w:t>Amy hizo un resumen de las actas de febrero. Steve Marvich presentó una moción para aprobar las actas de febrero. Heidi Calhoun apoya la moción. Moción aprobada.</w:t>
      </w:r>
    </w:p>
    <w:p w:rsidR="00002C8A" w:rsidRDefault="00D930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</w:rPr>
        <w:t>Finanzas de febrero y Gastos con Tarjeta de Crédito</w:t>
      </w:r>
      <w:r>
        <w:rPr>
          <w:rFonts w:ascii="Georgia" w:eastAsia="Georgia" w:hAnsi="Georgia" w:cs="Georgia"/>
          <w:b/>
          <w:color w:val="000000"/>
        </w:rPr>
        <w:t xml:space="preserve">: </w:t>
      </w:r>
      <w:r>
        <w:rPr>
          <w:rFonts w:ascii="Georgia" w:eastAsia="Georgia" w:hAnsi="Georgia" w:cs="Georgia"/>
        </w:rPr>
        <w:t>Amy compartió que estamos en buena trayectoria en cuestión de gastos</w:t>
      </w:r>
      <w:r>
        <w:rPr>
          <w:rFonts w:ascii="Georgia" w:eastAsia="Georgia" w:hAnsi="Georgia" w:cs="Georgia"/>
          <w:b/>
        </w:rPr>
        <w:t>.</w:t>
      </w:r>
      <w:r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</w:rPr>
        <w:t>Hay algunos gastos anuales que desajustan un poco las cosas, pero se compensarán. Hubo una discusión en torno a la diferencia en la línea de servicios de nutrición. Esta diferencia se de</w:t>
      </w:r>
      <w:r>
        <w:rPr>
          <w:rFonts w:ascii="Georgia" w:eastAsia="Georgia" w:hAnsi="Georgia" w:cs="Georgia"/>
        </w:rPr>
        <w:t>be a cuando recibimos las facturas y estamos un poco atrasados en recibir una factura de uno de nuestros proveedores. Las subvenciones estatales deberían gastarse al 66.7% y actualmente estamos al 67.5%. Las subvenciones federales deberían gastarse en un 5</w:t>
      </w:r>
      <w:r>
        <w:rPr>
          <w:rFonts w:ascii="Georgia" w:eastAsia="Georgia" w:hAnsi="Georgia" w:cs="Georgia"/>
        </w:rPr>
        <w:t xml:space="preserve">8% y actualmente estamos en un 56.3%. Seguiremos supervisando las partidas individuales. Annette compartió que nunca hemos tenido que devolver dinero. Heidi Calhoun hizo una moción para aprobar los estados financieros de febrero y los gastos de la tarjeta </w:t>
      </w:r>
      <w:r>
        <w:rPr>
          <w:rFonts w:ascii="Georgia" w:eastAsia="Georgia" w:hAnsi="Georgia" w:cs="Georgia"/>
        </w:rPr>
        <w:t>de crédito tal como se presentaron. Steve Marvich apoyó la moción. La moción fue aprobada.</w:t>
      </w:r>
    </w:p>
    <w:p w:rsidR="00002C8A" w:rsidRDefault="00002C8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</w:rPr>
      </w:pPr>
    </w:p>
    <w:p w:rsidR="00002C8A" w:rsidRDefault="00002C8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</w:rPr>
      </w:pPr>
    </w:p>
    <w:p w:rsidR="00002C8A" w:rsidRDefault="00002C8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</w:rPr>
      </w:pPr>
    </w:p>
    <w:p w:rsidR="00002C8A" w:rsidRDefault="00D9306D">
      <w:pPr>
        <w:numPr>
          <w:ilvl w:val="0"/>
          <w:numId w:val="9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lastRenderedPageBreak/>
        <w:t>Nuevos Asuntos:</w:t>
      </w:r>
    </w:p>
    <w:p w:rsidR="00002C8A" w:rsidRDefault="00D930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</w:rPr>
      </w:pPr>
      <w:bookmarkStart w:id="1" w:name="_heading=h.gjdgxs" w:colFirst="0" w:colLast="0"/>
      <w:bookmarkEnd w:id="1"/>
      <w:r>
        <w:rPr>
          <w:rFonts w:ascii="Georgia" w:eastAsia="Georgia" w:hAnsi="Georgia" w:cs="Georgia"/>
          <w:b/>
        </w:rPr>
        <w:t>Propuesta 23-28. Plan Estratégico y Presupuesto Anual.</w:t>
      </w:r>
      <w:r>
        <w:rPr>
          <w:rFonts w:ascii="Georgia" w:eastAsia="Georgia" w:hAnsi="Georgia" w:cs="Georgia"/>
          <w:b/>
          <w:color w:val="000000"/>
        </w:rPr>
        <w:t xml:space="preserve"> </w:t>
      </w:r>
      <w:r>
        <w:rPr>
          <w:rFonts w:ascii="Georgia" w:eastAsia="Georgia" w:hAnsi="Georgia" w:cs="Georgia"/>
        </w:rPr>
        <w:t>Annette compartió que nos estamos embarcando en un nuevo Plan Estratégico de 5 años y vamos a pedir al Consejo de Política la aprobación y sus recomendaciones irán a nuestro Junta de Directores. Hoy les preguntamos si están de acuerdo en la dirección en la</w:t>
      </w:r>
      <w:r>
        <w:rPr>
          <w:rFonts w:ascii="Georgia" w:eastAsia="Georgia" w:hAnsi="Georgia" w:cs="Georgia"/>
        </w:rPr>
        <w:t xml:space="preserve"> que vamos. En 2019 cambiamos nuestro nombre a First Start Partnerships for Children and Families. Nuestro Plan Estratégico actual tiene una meta de acreditación NAEYC. Queremos seguir centrándonos en la alta calidad. La toma de decisiones a nivel local en</w:t>
      </w:r>
      <w:r>
        <w:rPr>
          <w:rFonts w:ascii="Georgia" w:eastAsia="Georgia" w:hAnsi="Georgia" w:cs="Georgia"/>
        </w:rPr>
        <w:t xml:space="preserve"> un centro comunitario es una idea transformadora. Annette compartió información de una presentación en power point que también fue imprimida y entregada al consejo de políticas. Hemos utilizado la ciencia de la aplicación, que identifica tres factores:  O</w:t>
      </w:r>
      <w:r>
        <w:rPr>
          <w:rFonts w:ascii="Georgia" w:eastAsia="Georgia" w:hAnsi="Georgia" w:cs="Georgia"/>
        </w:rPr>
        <w:t xml:space="preserve">rganización, Liderazgo, Competencia. En los próximos 5 años nos centraremos en la competencia: selección, formación y asesoramiento del personal. Hemos examinado los datos de las evaluaciones comunitarias, la autoevaluación de las normas NAEYC y nos hemos </w:t>
      </w:r>
      <w:r>
        <w:rPr>
          <w:rFonts w:ascii="Georgia" w:eastAsia="Georgia" w:hAnsi="Georgia" w:cs="Georgia"/>
        </w:rPr>
        <w:t>preguntado si vamos por buen camino y cuál es el siguiente paso. Observamos los datos de First Start, los datos de la comunidad y los datos del autoestudio de NAEYC y en la intersección se encuentran los niños, las familias y las comunidades saludables. Nu</w:t>
      </w:r>
      <w:r>
        <w:rPr>
          <w:rFonts w:ascii="Georgia" w:eastAsia="Georgia" w:hAnsi="Georgia" w:cs="Georgia"/>
        </w:rPr>
        <w:t>estro enfoque de 5 años en el Plan Estratégico será Niños Saludables, Familias, Comunidades y escuelas. Steve también sugirió incluir las escuelas parroquiales. Las áreas médicas, dentales, vacunas y seguro médico antes de covid estaban al 100% y en 2022-2</w:t>
      </w:r>
      <w:r>
        <w:rPr>
          <w:rFonts w:ascii="Georgia" w:eastAsia="Georgia" w:hAnsi="Georgia" w:cs="Georgia"/>
        </w:rPr>
        <w:t>023 estaban entre 60-84%. Si vamos a tener niños sanos tenemos que saber lo que está disponible para ellos. Estamos viendo aumentos significativos  cada 2 años. En el área de Familias Saludables- 100% de nuestras familias recibirán al menos 1 servicio en 2</w:t>
      </w:r>
      <w:r>
        <w:rPr>
          <w:rFonts w:ascii="Georgia" w:eastAsia="Georgia" w:hAnsi="Georgia" w:cs="Georgia"/>
        </w:rPr>
        <w:t>028. En 2022 estábamos en el 66%. Comunidades Saludables- En 2022 nuestro total de voluntarios era de 86 (77 de ellos eran familias) para 2028 nos gustaría tener 400 voluntarios. Sabemos que esto requerirá formación, apoyo y entrenamiento. Annette le  preg</w:t>
      </w:r>
      <w:r>
        <w:rPr>
          <w:rFonts w:ascii="Georgia" w:eastAsia="Georgia" w:hAnsi="Georgia" w:cs="Georgia"/>
        </w:rPr>
        <w:t>untó al Consejo de Políticas si estamos en el camino correcto... todos estuvieron de acuerdo en que sí. René presentó una moción para aceptar el marco teórico y que vamos en la dirección correcta.  Mimi apoya la moción. Moción aprobada.</w:t>
      </w:r>
    </w:p>
    <w:p w:rsidR="00002C8A" w:rsidRDefault="00D930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</w:rPr>
      </w:pPr>
      <w:bookmarkStart w:id="2" w:name="_heading=h.1wxqtfa6hann" w:colFirst="0" w:colLast="0"/>
      <w:bookmarkEnd w:id="2"/>
      <w:r>
        <w:rPr>
          <w:rFonts w:ascii="Georgia" w:eastAsia="Georgia" w:hAnsi="Georgia" w:cs="Georgia"/>
          <w:b/>
        </w:rPr>
        <w:t>Reducción del Númer</w:t>
      </w:r>
      <w:r>
        <w:rPr>
          <w:rFonts w:ascii="Georgia" w:eastAsia="Georgia" w:hAnsi="Georgia" w:cs="Georgia"/>
          <w:b/>
        </w:rPr>
        <w:t>o de Inscripciones</w:t>
      </w:r>
      <w:r>
        <w:rPr>
          <w:rFonts w:ascii="Georgia" w:eastAsia="Georgia" w:hAnsi="Georgia" w:cs="Georgia"/>
          <w:b/>
          <w:color w:val="000000"/>
        </w:rPr>
        <w:t xml:space="preserve">:  </w:t>
      </w:r>
      <w:r>
        <w:rPr>
          <w:rFonts w:ascii="Georgia" w:eastAsia="Georgia" w:hAnsi="Georgia" w:cs="Georgia"/>
        </w:rPr>
        <w:t>Annette compartió que una reducción de las inscripciones aumentaría los salarios de los maestros líderes para que sean comparables a los maestros de las escuelas públicas. Para ello, tenemos que hacer una reducción de las inscripciones</w:t>
      </w:r>
      <w:r>
        <w:rPr>
          <w:rFonts w:ascii="Georgia" w:eastAsia="Georgia" w:hAnsi="Georgia" w:cs="Georgia"/>
        </w:rPr>
        <w:t>. El presidente Biden está alentando esto.  Syrita Clark que es nuestro contacto nos está animando a esto.  Actualmente tenemos 279 niños inscritos a través de Head Start Funding. Tendríamos que reducir el número de niños a unos 204.  Hay suficientes otros</w:t>
      </w:r>
      <w:r>
        <w:rPr>
          <w:rFonts w:ascii="Georgia" w:eastAsia="Georgia" w:hAnsi="Georgia" w:cs="Georgia"/>
        </w:rPr>
        <w:t xml:space="preserve"> programas como HSSAP y Pre-K Counts para </w:t>
      </w:r>
      <w:r>
        <w:rPr>
          <w:rFonts w:ascii="Georgia" w:eastAsia="Georgia" w:hAnsi="Georgia" w:cs="Georgia"/>
        </w:rPr>
        <w:lastRenderedPageBreak/>
        <w:t>atender a estos niños. No perderíamos a ningunos niños que regresan y tenemos un lugar para los otros 70 niños.  Tendremos que finalizar esto a finales de marzo. Sería un aumento del 23% en los salarios. Utilizamos</w:t>
      </w:r>
      <w:r>
        <w:rPr>
          <w:rFonts w:ascii="Georgia" w:eastAsia="Georgia" w:hAnsi="Georgia" w:cs="Georgia"/>
        </w:rPr>
        <w:t xml:space="preserve"> el 5,6% COLA primero y luego el 19%.</w:t>
      </w:r>
    </w:p>
    <w:p w:rsidR="00002C8A" w:rsidRDefault="00D9306D">
      <w:pPr>
        <w:numPr>
          <w:ilvl w:val="0"/>
          <w:numId w:val="8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Reporte del Director:</w:t>
      </w:r>
    </w:p>
    <w:p w:rsidR="00002C8A" w:rsidRDefault="00D93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</w:rPr>
        <w:t>Región Sur:  Greencastle, Tuscarora, Waynesboro</w:t>
      </w:r>
    </w:p>
    <w:p w:rsidR="00002C8A" w:rsidRDefault="00D93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</w:rPr>
        <w:t>Vacantes de Personal- Todas en Waynesboro, 1 Maestro Asistente con Calificaciones de Líder, 1 Maestro Asistente, 1 Maestro Asistente de Edificio.</w:t>
      </w:r>
    </w:p>
    <w:p w:rsidR="00002C8A" w:rsidRDefault="00D93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</w:rPr>
        <w:t>Matriculación- Early Head Start está totalmente matriculado y todos los demás programas están matriculados al 96%.</w:t>
      </w:r>
    </w:p>
    <w:p w:rsidR="00002C8A" w:rsidRDefault="00002C8A">
      <w:pPr>
        <w:pBdr>
          <w:top w:val="nil"/>
          <w:left w:val="nil"/>
          <w:bottom w:val="nil"/>
          <w:right w:val="nil"/>
          <w:between w:val="nil"/>
        </w:pBdr>
        <w:ind w:left="1350"/>
        <w:rPr>
          <w:rFonts w:ascii="Georgia" w:eastAsia="Georgia" w:hAnsi="Georgia" w:cs="Georgia"/>
          <w:b/>
          <w:color w:val="000000"/>
        </w:rPr>
      </w:pPr>
    </w:p>
    <w:p w:rsidR="00002C8A" w:rsidRDefault="00D930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</w:rPr>
        <w:t>Discusión/preguntas/sugerencias de los miembros:</w:t>
      </w:r>
      <w:r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</w:rPr>
        <w:t>Hubo algunas preguntas sobre aulas específicas y se decidió que lo mejor era hablar con los</w:t>
      </w:r>
      <w:r>
        <w:rPr>
          <w:rFonts w:ascii="Georgia" w:eastAsia="Georgia" w:hAnsi="Georgia" w:cs="Georgia"/>
        </w:rPr>
        <w:t xml:space="preserve"> profesores o coordinadores de programas para abordar esas necesidades. No hubo más discusiones, preguntas o sugerencias en este punto.</w:t>
      </w:r>
    </w:p>
    <w:p w:rsidR="00002C8A" w:rsidRDefault="00002C8A">
      <w:pPr>
        <w:rPr>
          <w:rFonts w:ascii="Georgia" w:eastAsia="Georgia" w:hAnsi="Georgia" w:cs="Georgia"/>
          <w:b/>
          <w:color w:val="000000"/>
        </w:rPr>
      </w:pPr>
    </w:p>
    <w:p w:rsidR="00002C8A" w:rsidRDefault="00D930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</w:rPr>
        <w:t>Aplazamiento de la reunión</w:t>
      </w:r>
    </w:p>
    <w:p w:rsidR="00002C8A" w:rsidRDefault="00D9306D">
      <w:pPr>
        <w:pBdr>
          <w:top w:val="nil"/>
          <w:left w:val="nil"/>
          <w:bottom w:val="nil"/>
          <w:right w:val="nil"/>
          <w:between w:val="nil"/>
        </w:pBdr>
        <w:ind w:left="13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Se aplaza la sesión a las 10:33 am. </w:t>
      </w:r>
    </w:p>
    <w:p w:rsidR="00002C8A" w:rsidRDefault="00002C8A">
      <w:pPr>
        <w:ind w:left="720"/>
        <w:rPr>
          <w:rFonts w:ascii="Georgia" w:eastAsia="Georgia" w:hAnsi="Georgia" w:cs="Georgia"/>
        </w:rPr>
      </w:pPr>
    </w:p>
    <w:p w:rsidR="00002C8A" w:rsidRDefault="00002C8A">
      <w:pPr>
        <w:ind w:left="720"/>
        <w:rPr>
          <w:rFonts w:ascii="Georgia" w:eastAsia="Georgia" w:hAnsi="Georgia" w:cs="Georgia"/>
          <w:b/>
        </w:rPr>
      </w:pPr>
    </w:p>
    <w:p w:rsidR="00002C8A" w:rsidRDefault="00D9306D">
      <w:pPr>
        <w:ind w:lef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Próxima reunión:  martes, 18 de abril de 2023 9:00-10</w:t>
      </w:r>
      <w:r>
        <w:rPr>
          <w:rFonts w:ascii="Georgia" w:eastAsia="Georgia" w:hAnsi="Georgia" w:cs="Georgia"/>
          <w:b/>
        </w:rPr>
        <w:t>:30 am</w:t>
      </w:r>
    </w:p>
    <w:p w:rsidR="00002C8A" w:rsidRDefault="00002C8A">
      <w:pPr>
        <w:ind w:left="720"/>
        <w:rPr>
          <w:rFonts w:ascii="Georgia" w:eastAsia="Georgia" w:hAnsi="Georgia" w:cs="Georgia"/>
          <w:b/>
        </w:rPr>
      </w:pPr>
    </w:p>
    <w:p w:rsidR="00002C8A" w:rsidRDefault="00002C8A">
      <w:pPr>
        <w:ind w:left="720"/>
        <w:rPr>
          <w:rFonts w:ascii="Georgia" w:eastAsia="Georgia" w:hAnsi="Georgia" w:cs="Georgia"/>
          <w:b/>
        </w:rPr>
      </w:pPr>
    </w:p>
    <w:sectPr w:rsidR="00002C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64A2"/>
    <w:multiLevelType w:val="multilevel"/>
    <w:tmpl w:val="B2DC0F30"/>
    <w:lvl w:ilvl="0">
      <w:start w:val="1"/>
      <w:numFmt w:val="upperRoman"/>
      <w:lvlText w:val="%1."/>
      <w:lvlJc w:val="left"/>
      <w:pPr>
        <w:ind w:left="135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249DE"/>
    <w:multiLevelType w:val="multilevel"/>
    <w:tmpl w:val="27683FC4"/>
    <w:lvl w:ilvl="0">
      <w:start w:val="1"/>
      <w:numFmt w:val="upperRoman"/>
      <w:lvlText w:val="%1."/>
      <w:lvlJc w:val="left"/>
      <w:pPr>
        <w:ind w:left="135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03923"/>
    <w:multiLevelType w:val="multilevel"/>
    <w:tmpl w:val="558C490C"/>
    <w:lvl w:ilvl="0">
      <w:start w:val="1"/>
      <w:numFmt w:val="upperRoman"/>
      <w:lvlText w:val="%1."/>
      <w:lvlJc w:val="left"/>
      <w:pPr>
        <w:ind w:left="135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D39D2"/>
    <w:multiLevelType w:val="multilevel"/>
    <w:tmpl w:val="C2A26AF0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3267FC"/>
    <w:multiLevelType w:val="multilevel"/>
    <w:tmpl w:val="D1AA0C68"/>
    <w:lvl w:ilvl="0">
      <w:start w:val="1"/>
      <w:numFmt w:val="upperLetter"/>
      <w:lvlText w:val="%1."/>
      <w:lvlJc w:val="left"/>
      <w:pPr>
        <w:ind w:left="2070" w:hanging="360"/>
      </w:pPr>
    </w:lvl>
    <w:lvl w:ilvl="1">
      <w:start w:val="1"/>
      <w:numFmt w:val="lowerLetter"/>
      <w:lvlText w:val="%2."/>
      <w:lvlJc w:val="left"/>
      <w:pPr>
        <w:ind w:left="2790" w:hanging="360"/>
      </w:pPr>
    </w:lvl>
    <w:lvl w:ilvl="2">
      <w:start w:val="1"/>
      <w:numFmt w:val="lowerRoman"/>
      <w:lvlText w:val="%3."/>
      <w:lvlJc w:val="right"/>
      <w:pPr>
        <w:ind w:left="3510" w:hanging="180"/>
      </w:pPr>
    </w:lvl>
    <w:lvl w:ilvl="3">
      <w:start w:val="1"/>
      <w:numFmt w:val="decimal"/>
      <w:lvlText w:val="%4."/>
      <w:lvlJc w:val="left"/>
      <w:pPr>
        <w:ind w:left="4230" w:hanging="360"/>
      </w:pPr>
    </w:lvl>
    <w:lvl w:ilvl="4">
      <w:start w:val="1"/>
      <w:numFmt w:val="lowerLetter"/>
      <w:lvlText w:val="%5."/>
      <w:lvlJc w:val="left"/>
      <w:pPr>
        <w:ind w:left="4950" w:hanging="360"/>
      </w:pPr>
    </w:lvl>
    <w:lvl w:ilvl="5">
      <w:start w:val="1"/>
      <w:numFmt w:val="lowerRoman"/>
      <w:lvlText w:val="%6."/>
      <w:lvlJc w:val="right"/>
      <w:pPr>
        <w:ind w:left="5670" w:hanging="180"/>
      </w:pPr>
    </w:lvl>
    <w:lvl w:ilvl="6">
      <w:start w:val="1"/>
      <w:numFmt w:val="decimal"/>
      <w:lvlText w:val="%7."/>
      <w:lvlJc w:val="left"/>
      <w:pPr>
        <w:ind w:left="6390" w:hanging="360"/>
      </w:pPr>
    </w:lvl>
    <w:lvl w:ilvl="7">
      <w:start w:val="1"/>
      <w:numFmt w:val="lowerLetter"/>
      <w:lvlText w:val="%8."/>
      <w:lvlJc w:val="left"/>
      <w:pPr>
        <w:ind w:left="7110" w:hanging="360"/>
      </w:pPr>
    </w:lvl>
    <w:lvl w:ilvl="8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56DF77DB"/>
    <w:multiLevelType w:val="multilevel"/>
    <w:tmpl w:val="DD1CFA12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36740B"/>
    <w:multiLevelType w:val="multilevel"/>
    <w:tmpl w:val="51628354"/>
    <w:lvl w:ilvl="0">
      <w:start w:val="1"/>
      <w:numFmt w:val="upperRoman"/>
      <w:lvlText w:val="%1."/>
      <w:lvlJc w:val="left"/>
      <w:pPr>
        <w:ind w:left="135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BA544C"/>
    <w:multiLevelType w:val="multilevel"/>
    <w:tmpl w:val="409CFD5C"/>
    <w:lvl w:ilvl="0">
      <w:start w:val="1"/>
      <w:numFmt w:val="upperRoman"/>
      <w:lvlText w:val="%1."/>
      <w:lvlJc w:val="left"/>
      <w:pPr>
        <w:ind w:left="135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CF5E63"/>
    <w:multiLevelType w:val="multilevel"/>
    <w:tmpl w:val="6D12D266"/>
    <w:lvl w:ilvl="0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35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1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8A"/>
    <w:rsid w:val="00002C8A"/>
    <w:rsid w:val="00D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FD811-0629-4FDA-A38D-61CFC0C9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AD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36AD7"/>
    <w:pPr>
      <w:ind w:left="720"/>
      <w:contextualSpacing/>
    </w:pPr>
  </w:style>
  <w:style w:type="paragraph" w:styleId="NoSpacing">
    <w:name w:val="No Spacing"/>
    <w:uiPriority w:val="1"/>
    <w:qFormat/>
    <w:rsid w:val="00136AD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66M+TZdm7f7lsmMNRcIVYiqp5Q==">AMUW2mVxZynrKpPuzUeAloIUfyrLqrLXNDSsnFAp0UL2+YQ8HyfXwvDl0gz1qHfcYJCjT+DF0YJ2wEwrAxj2xM1NCpigd+3NobucqERZ+pP+TUPYsMhSTXUg8oZGXVFgKJ8ozVmx0V6yncvvRlzn9wx/cerwGkHIfw==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Office2019Standard64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2023-10-03T14:25:00Z</dcterms:created>
  <dcterms:modified xsi:type="dcterms:W3CDTF">2023-10-03T14:25:00Z</dcterms:modified>
</cp:coreProperties>
</file>